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Vingåker kommunfullmäktige</w:t>
      </w:r>
    </w:p>
    <w:p>
      <w:pPr>
        <w:pStyle w:val="Heading1"/>
      </w:pPr>
      <w:r>
        <w:t xml:space="preserve">Utveckla SFI med direkt arbetsmarknadsanknytning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Vingåker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Cirka 15 % av Vingåkers invånare är utrikes födda. SFI-resultaten är lägre än genomsnittet i Sörmland enligt Skolverket. Kopplingen till arbete är svag vilket försvårar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Vingåker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SFI-undervisningen i Vingåker kombineras med praktikplatser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tecknar avtal med minst fem lokala företag om arbetsplatsförlagd SFI.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språkcoach anställs för att stödja deltagare mot jobb eller studier.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övergång till arbete redovisas årligen.</w:t>
      </w:r>
    </w:p>
    <w:p>
      <w:pPr>
        <w:spacing w:before="360"/>
      </w:pPr>
    </w:p>
    <w:p>
      <w:r>
        <w:t xml:space="preserve">Vingåker,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Vingåker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2026-07-14T05:38:51.544Z</dcterms:created>
  <dcterms:modified xsi:type="dcterms:W3CDTF">2026-07-14T05:38:51.544Z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